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9E3BC" w14:textId="77777777" w:rsidR="00FE2D20" w:rsidRDefault="00FE2D20" w:rsidP="00FE2D20">
      <w:pPr>
        <w:pStyle w:val="Titre"/>
        <w:rPr>
          <w:lang w:eastAsia="fr-FR"/>
        </w:rPr>
      </w:pPr>
      <w:r>
        <w:rPr>
          <w:lang w:eastAsia="fr-FR"/>
        </w:rPr>
        <w:t>PLFF 2012 : synthèse</w:t>
      </w:r>
    </w:p>
    <w:p w14:paraId="74D27963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Le contexte</w:t>
      </w:r>
    </w:p>
    <w:p w14:paraId="4987BFDA" w14:textId="77777777" w:rsidR="00FE2D20" w:rsidRPr="00FE2D20" w:rsidRDefault="00FE2D20" w:rsidP="002E3555">
      <w:pPr>
        <w:spacing w:before="100" w:beforeAutospacing="1" w:after="100" w:afterAutospacing="1" w:line="240" w:lineRule="auto"/>
        <w:rPr>
          <w:rFonts w:ascii="Times" w:hAnsi="Times"/>
          <w:sz w:val="20"/>
          <w:szCs w:val="20"/>
          <w:lang w:eastAsia="fr-FR"/>
        </w:rPr>
      </w:pPr>
      <w:r w:rsidRPr="00FE2D20">
        <w:rPr>
          <w:rFonts w:ascii="Times" w:hAnsi="Times"/>
          <w:sz w:val="20"/>
          <w:szCs w:val="20"/>
          <w:lang w:eastAsia="fr-FR"/>
        </w:rPr>
        <w:t>Le projet de loi de financement de la sécurité sociale (PLFSS) pour 2012 s’inscrit dans la stratégie de réduction du déficit public à 4,5% en 2012, 3% en 2013 et 2% en 2014.</w:t>
      </w:r>
    </w:p>
    <w:p w14:paraId="77D7F5D1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rPr>
          <w:rFonts w:ascii="Times" w:hAnsi="Times"/>
          <w:sz w:val="20"/>
          <w:szCs w:val="20"/>
          <w:lang w:eastAsia="fr-FR"/>
        </w:rPr>
      </w:pPr>
      <w:r w:rsidRPr="00FE2D20">
        <w:rPr>
          <w:rFonts w:ascii="Times" w:hAnsi="Times"/>
          <w:sz w:val="20"/>
          <w:szCs w:val="20"/>
          <w:lang w:eastAsia="fr-FR"/>
        </w:rPr>
        <w:t xml:space="preserve">Déficit du régime général en 2010 : -23,9 milliards </w:t>
      </w:r>
      <w:r>
        <w:rPr>
          <w:rFonts w:ascii="Times" w:hAnsi="Times"/>
          <w:sz w:val="20"/>
          <w:szCs w:val="20"/>
          <w:lang w:eastAsia="fr-FR"/>
        </w:rPr>
        <w:t>d’euros</w:t>
      </w:r>
    </w:p>
    <w:p w14:paraId="32FE5B26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bookmarkStart w:id="0" w:name="_GoBack"/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Les repères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005"/>
        <w:gridCol w:w="2069"/>
        <w:gridCol w:w="2069"/>
        <w:gridCol w:w="2069"/>
        <w:gridCol w:w="2070"/>
      </w:tblGrid>
      <w:tr w:rsidR="00FE2D20" w:rsidRPr="00FE2D20" w14:paraId="48D1CCE2" w14:textId="77777777" w:rsidTr="00FE2D20">
        <w:tc>
          <w:tcPr>
            <w:tcW w:w="0" w:type="auto"/>
            <w:hideMark/>
          </w:tcPr>
          <w:bookmarkEnd w:id="0"/>
          <w:p w14:paraId="62FB7CF8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 xml:space="preserve">En Md€ </w:t>
            </w:r>
          </w:p>
        </w:tc>
        <w:tc>
          <w:tcPr>
            <w:tcW w:w="2069" w:type="dxa"/>
            <w:hideMark/>
          </w:tcPr>
          <w:p w14:paraId="64F630D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Soldes 2011 LFSS rectificative pour 2011</w:t>
            </w:r>
          </w:p>
        </w:tc>
        <w:tc>
          <w:tcPr>
            <w:tcW w:w="2069" w:type="dxa"/>
            <w:hideMark/>
          </w:tcPr>
          <w:p w14:paraId="53BBFCB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Soldes 2011 actualisés</w:t>
            </w:r>
          </w:p>
        </w:tc>
        <w:tc>
          <w:tcPr>
            <w:tcW w:w="2069" w:type="dxa"/>
            <w:hideMark/>
          </w:tcPr>
          <w:p w14:paraId="6DDB1886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Soldes 2012 tendanciels (avant mesures)</w:t>
            </w:r>
          </w:p>
        </w:tc>
        <w:tc>
          <w:tcPr>
            <w:tcW w:w="2070" w:type="dxa"/>
            <w:hideMark/>
          </w:tcPr>
          <w:p w14:paraId="0948CC4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Soldes 2012 après mesures</w:t>
            </w:r>
          </w:p>
        </w:tc>
      </w:tr>
      <w:tr w:rsidR="00FE2D20" w:rsidRPr="00FE2D20" w14:paraId="59BA12B7" w14:textId="77777777" w:rsidTr="00FE2D20">
        <w:tc>
          <w:tcPr>
            <w:tcW w:w="0" w:type="auto"/>
            <w:hideMark/>
          </w:tcPr>
          <w:p w14:paraId="33ADD51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Maladie </w:t>
            </w:r>
          </w:p>
        </w:tc>
        <w:tc>
          <w:tcPr>
            <w:tcW w:w="2069" w:type="dxa"/>
            <w:hideMark/>
          </w:tcPr>
          <w:p w14:paraId="2ED3B44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-10,3</w:t>
            </w:r>
          </w:p>
        </w:tc>
        <w:tc>
          <w:tcPr>
            <w:tcW w:w="2069" w:type="dxa"/>
            <w:hideMark/>
          </w:tcPr>
          <w:p w14:paraId="0AB81676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-9,6</w:t>
            </w:r>
          </w:p>
        </w:tc>
        <w:tc>
          <w:tcPr>
            <w:tcW w:w="2069" w:type="dxa"/>
            <w:hideMark/>
          </w:tcPr>
          <w:p w14:paraId="53425A5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-12,0</w:t>
            </w:r>
          </w:p>
        </w:tc>
        <w:tc>
          <w:tcPr>
            <w:tcW w:w="2070" w:type="dxa"/>
            <w:hideMark/>
          </w:tcPr>
          <w:p w14:paraId="3390EBFD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-5,9</w:t>
            </w:r>
          </w:p>
        </w:tc>
      </w:tr>
      <w:tr w:rsidR="00FE2D20" w:rsidRPr="00FE2D20" w14:paraId="55A3CBF1" w14:textId="77777777" w:rsidTr="00FE2D20">
        <w:tc>
          <w:tcPr>
            <w:tcW w:w="0" w:type="auto"/>
            <w:hideMark/>
          </w:tcPr>
          <w:p w14:paraId="526CCD19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AT-MP </w:t>
            </w:r>
          </w:p>
        </w:tc>
        <w:tc>
          <w:tcPr>
            <w:tcW w:w="2069" w:type="dxa"/>
            <w:hideMark/>
          </w:tcPr>
          <w:p w14:paraId="33051106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0,0</w:t>
            </w:r>
          </w:p>
        </w:tc>
        <w:tc>
          <w:tcPr>
            <w:tcW w:w="2069" w:type="dxa"/>
            <w:hideMark/>
          </w:tcPr>
          <w:p w14:paraId="646ADDF5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0,0</w:t>
            </w:r>
          </w:p>
        </w:tc>
        <w:tc>
          <w:tcPr>
            <w:tcW w:w="2069" w:type="dxa"/>
            <w:hideMark/>
          </w:tcPr>
          <w:p w14:paraId="72D1E47B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0,2</w:t>
            </w:r>
          </w:p>
        </w:tc>
        <w:tc>
          <w:tcPr>
            <w:tcW w:w="2070" w:type="dxa"/>
            <w:hideMark/>
          </w:tcPr>
          <w:p w14:paraId="793732C6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0,1</w:t>
            </w:r>
          </w:p>
        </w:tc>
      </w:tr>
      <w:tr w:rsidR="00FE2D20" w:rsidRPr="00FE2D20" w14:paraId="63D8BF8A" w14:textId="77777777" w:rsidTr="00FE2D20">
        <w:tc>
          <w:tcPr>
            <w:tcW w:w="0" w:type="auto"/>
            <w:hideMark/>
          </w:tcPr>
          <w:p w14:paraId="07D3B9B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Famille </w:t>
            </w:r>
          </w:p>
        </w:tc>
        <w:tc>
          <w:tcPr>
            <w:tcW w:w="2069" w:type="dxa"/>
            <w:hideMark/>
          </w:tcPr>
          <w:p w14:paraId="6087664F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-2,8</w:t>
            </w:r>
          </w:p>
        </w:tc>
        <w:tc>
          <w:tcPr>
            <w:tcW w:w="2069" w:type="dxa"/>
            <w:hideMark/>
          </w:tcPr>
          <w:p w14:paraId="456CC894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-2,6</w:t>
            </w:r>
          </w:p>
        </w:tc>
        <w:tc>
          <w:tcPr>
            <w:tcW w:w="2069" w:type="dxa"/>
            <w:hideMark/>
          </w:tcPr>
          <w:p w14:paraId="7957B47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-2,7</w:t>
            </w:r>
          </w:p>
        </w:tc>
        <w:tc>
          <w:tcPr>
            <w:tcW w:w="2070" w:type="dxa"/>
            <w:hideMark/>
          </w:tcPr>
          <w:p w14:paraId="34B3769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-2,3</w:t>
            </w:r>
          </w:p>
        </w:tc>
      </w:tr>
      <w:tr w:rsidR="00FE2D20" w:rsidRPr="00FE2D20" w14:paraId="36E915EB" w14:textId="77777777" w:rsidTr="00FE2D20">
        <w:tc>
          <w:tcPr>
            <w:tcW w:w="0" w:type="auto"/>
            <w:hideMark/>
          </w:tcPr>
          <w:p w14:paraId="0D38FEAE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Vieillesse </w:t>
            </w:r>
          </w:p>
        </w:tc>
        <w:tc>
          <w:tcPr>
            <w:tcW w:w="2069" w:type="dxa"/>
            <w:hideMark/>
          </w:tcPr>
          <w:p w14:paraId="5E8F221D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-6,4</w:t>
            </w:r>
          </w:p>
        </w:tc>
        <w:tc>
          <w:tcPr>
            <w:tcW w:w="2069" w:type="dxa"/>
            <w:hideMark/>
          </w:tcPr>
          <w:p w14:paraId="341CA8A0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-6,0</w:t>
            </w:r>
          </w:p>
        </w:tc>
        <w:tc>
          <w:tcPr>
            <w:tcW w:w="2069" w:type="dxa"/>
            <w:hideMark/>
          </w:tcPr>
          <w:p w14:paraId="4A7DBFC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-6,6</w:t>
            </w:r>
          </w:p>
        </w:tc>
        <w:tc>
          <w:tcPr>
            <w:tcW w:w="2070" w:type="dxa"/>
            <w:hideMark/>
          </w:tcPr>
          <w:p w14:paraId="55339507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-5,8</w:t>
            </w:r>
          </w:p>
        </w:tc>
      </w:tr>
      <w:tr w:rsidR="00FE2D20" w:rsidRPr="00FE2D20" w14:paraId="6EC4D28F" w14:textId="77777777" w:rsidTr="00FE2D20">
        <w:tc>
          <w:tcPr>
            <w:tcW w:w="0" w:type="auto"/>
            <w:hideMark/>
          </w:tcPr>
          <w:p w14:paraId="26FAB330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Total RG </w:t>
            </w:r>
          </w:p>
        </w:tc>
        <w:tc>
          <w:tcPr>
            <w:tcW w:w="2069" w:type="dxa"/>
            <w:hideMark/>
          </w:tcPr>
          <w:p w14:paraId="7AB8F19B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-19,5</w:t>
            </w:r>
          </w:p>
        </w:tc>
        <w:tc>
          <w:tcPr>
            <w:tcW w:w="2069" w:type="dxa"/>
            <w:hideMark/>
          </w:tcPr>
          <w:p w14:paraId="2419B7D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-18,2</w:t>
            </w:r>
          </w:p>
        </w:tc>
        <w:tc>
          <w:tcPr>
            <w:tcW w:w="2069" w:type="dxa"/>
            <w:hideMark/>
          </w:tcPr>
          <w:p w14:paraId="09AEF97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-21,2</w:t>
            </w:r>
          </w:p>
        </w:tc>
        <w:tc>
          <w:tcPr>
            <w:tcW w:w="2070" w:type="dxa"/>
            <w:hideMark/>
          </w:tcPr>
          <w:p w14:paraId="18A4365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-13,9</w:t>
            </w:r>
          </w:p>
        </w:tc>
      </w:tr>
    </w:tbl>
    <w:p w14:paraId="0FCEB1F0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Paramètres macro-économiques retenus</w:t>
      </w:r>
    </w:p>
    <w:tbl>
      <w:tblPr>
        <w:tblStyle w:val="Grille"/>
        <w:tblW w:w="9322" w:type="dxa"/>
        <w:tblLayout w:type="fixed"/>
        <w:tblLook w:val="04A0" w:firstRow="1" w:lastRow="0" w:firstColumn="1" w:lastColumn="0" w:noHBand="0" w:noVBand="1"/>
      </w:tblPr>
      <w:tblGrid>
        <w:gridCol w:w="5778"/>
        <w:gridCol w:w="1772"/>
        <w:gridCol w:w="1772"/>
      </w:tblGrid>
      <w:tr w:rsidR="00FE2D20" w:rsidRPr="00FE2D20" w14:paraId="4E6A83E9" w14:textId="77777777" w:rsidTr="00FE2D20">
        <w:tc>
          <w:tcPr>
            <w:tcW w:w="5778" w:type="dxa"/>
            <w:hideMark/>
          </w:tcPr>
          <w:p w14:paraId="078CEC94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Indicateur</w:t>
            </w:r>
          </w:p>
        </w:tc>
        <w:tc>
          <w:tcPr>
            <w:tcW w:w="1772" w:type="dxa"/>
            <w:hideMark/>
          </w:tcPr>
          <w:p w14:paraId="445C999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2011</w:t>
            </w:r>
          </w:p>
        </w:tc>
        <w:tc>
          <w:tcPr>
            <w:tcW w:w="1772" w:type="dxa"/>
            <w:hideMark/>
          </w:tcPr>
          <w:p w14:paraId="2F7C4B8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2012</w:t>
            </w:r>
          </w:p>
        </w:tc>
      </w:tr>
      <w:tr w:rsidR="00FE2D20" w:rsidRPr="00FE2D20" w14:paraId="22DDFBBC" w14:textId="77777777" w:rsidTr="00FE2D20">
        <w:tc>
          <w:tcPr>
            <w:tcW w:w="5778" w:type="dxa"/>
            <w:hideMark/>
          </w:tcPr>
          <w:p w14:paraId="675363E0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PIB </w:t>
            </w:r>
          </w:p>
        </w:tc>
        <w:tc>
          <w:tcPr>
            <w:tcW w:w="1772" w:type="dxa"/>
            <w:hideMark/>
          </w:tcPr>
          <w:p w14:paraId="052B673D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+1,75%</w:t>
            </w:r>
          </w:p>
        </w:tc>
        <w:tc>
          <w:tcPr>
            <w:tcW w:w="1772" w:type="dxa"/>
            <w:hideMark/>
          </w:tcPr>
          <w:p w14:paraId="6D2440FC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+1,75%</w:t>
            </w:r>
          </w:p>
        </w:tc>
      </w:tr>
      <w:tr w:rsidR="00FE2D20" w:rsidRPr="00FE2D20" w14:paraId="7DDD99F6" w14:textId="77777777" w:rsidTr="00FE2D20">
        <w:tc>
          <w:tcPr>
            <w:tcW w:w="5778" w:type="dxa"/>
            <w:hideMark/>
          </w:tcPr>
          <w:p w14:paraId="390F1C43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Masse salariale </w:t>
            </w:r>
          </w:p>
        </w:tc>
        <w:tc>
          <w:tcPr>
            <w:tcW w:w="1772" w:type="dxa"/>
            <w:hideMark/>
          </w:tcPr>
          <w:p w14:paraId="13BBFC5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+3,7%</w:t>
            </w:r>
          </w:p>
        </w:tc>
        <w:tc>
          <w:tcPr>
            <w:tcW w:w="1772" w:type="dxa"/>
            <w:hideMark/>
          </w:tcPr>
          <w:p w14:paraId="2DCBC8A8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+3,7%</w:t>
            </w:r>
          </w:p>
        </w:tc>
      </w:tr>
      <w:tr w:rsidR="00FE2D20" w:rsidRPr="00FE2D20" w14:paraId="7C077DD8" w14:textId="77777777" w:rsidTr="00FE2D20">
        <w:tc>
          <w:tcPr>
            <w:tcW w:w="5778" w:type="dxa"/>
            <w:hideMark/>
          </w:tcPr>
          <w:p w14:paraId="396876C4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Inflation </w:t>
            </w:r>
          </w:p>
        </w:tc>
        <w:tc>
          <w:tcPr>
            <w:tcW w:w="1772" w:type="dxa"/>
            <w:hideMark/>
          </w:tcPr>
          <w:p w14:paraId="77A1158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+2,1%</w:t>
            </w:r>
          </w:p>
        </w:tc>
        <w:tc>
          <w:tcPr>
            <w:tcW w:w="1772" w:type="dxa"/>
            <w:hideMark/>
          </w:tcPr>
          <w:p w14:paraId="79C45540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+1,7%</w:t>
            </w:r>
          </w:p>
        </w:tc>
      </w:tr>
      <w:tr w:rsidR="00FE2D20" w:rsidRPr="00FE2D20" w14:paraId="5B339E10" w14:textId="77777777" w:rsidTr="00FE2D20">
        <w:tc>
          <w:tcPr>
            <w:tcW w:w="5778" w:type="dxa"/>
            <w:hideMark/>
          </w:tcPr>
          <w:p w14:paraId="4673C293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proofErr w:type="spellStart"/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Ondam</w:t>
            </w:r>
            <w:proofErr w:type="spellEnd"/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772" w:type="dxa"/>
            <w:hideMark/>
          </w:tcPr>
          <w:p w14:paraId="61FC6C06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+3%</w:t>
            </w:r>
          </w:p>
        </w:tc>
        <w:tc>
          <w:tcPr>
            <w:tcW w:w="1772" w:type="dxa"/>
            <w:hideMark/>
          </w:tcPr>
          <w:p w14:paraId="2BC90E3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+2,8%</w:t>
            </w:r>
          </w:p>
        </w:tc>
      </w:tr>
    </w:tbl>
    <w:p w14:paraId="6643A13B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Présentation du gouvernement</w:t>
      </w:r>
    </w:p>
    <w:p w14:paraId="4B8D30F8" w14:textId="77777777" w:rsidR="00FE2D20" w:rsidRPr="00FE2D20" w:rsidRDefault="00FE2D20" w:rsidP="002E3555">
      <w:pPr>
        <w:spacing w:before="100" w:beforeAutospacing="1" w:after="100" w:afterAutospacing="1" w:line="240" w:lineRule="auto"/>
        <w:rPr>
          <w:rFonts w:ascii="Times" w:hAnsi="Times"/>
          <w:sz w:val="20"/>
          <w:szCs w:val="20"/>
          <w:lang w:eastAsia="fr-FR"/>
        </w:rPr>
      </w:pPr>
      <w:r w:rsidRPr="00FE2D20">
        <w:rPr>
          <w:rFonts w:ascii="Times" w:hAnsi="Times"/>
          <w:sz w:val="20"/>
          <w:szCs w:val="20"/>
          <w:lang w:eastAsia="fr-FR"/>
        </w:rPr>
        <w:t xml:space="preserve">Après avoir atteint un pic de 23,9 milliards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 xml:space="preserve"> en 2010, le déficit du régime général devrait s’établir à 18,2 milliards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 xml:space="preserve"> en 2011. Par rapport à la loi de financement initiale de la sécurité sociale pour 2011 (qui présentait un solde de -20,9 milliards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 xml:space="preserve">), ce résultat est en amélioration de 2,7 milliards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>.</w:t>
      </w:r>
    </w:p>
    <w:p w14:paraId="029C8073" w14:textId="77777777" w:rsidR="00FE2D20" w:rsidRPr="00FE2D20" w:rsidRDefault="00FE2D20" w:rsidP="002E3555">
      <w:pPr>
        <w:spacing w:before="100" w:beforeAutospacing="1" w:after="100" w:afterAutospacing="1" w:line="240" w:lineRule="auto"/>
        <w:rPr>
          <w:rFonts w:ascii="Times" w:hAnsi="Times"/>
          <w:sz w:val="20"/>
          <w:szCs w:val="20"/>
          <w:lang w:eastAsia="fr-FR"/>
        </w:rPr>
      </w:pPr>
      <w:r w:rsidRPr="00FE2D20">
        <w:rPr>
          <w:rFonts w:ascii="Times" w:hAnsi="Times"/>
          <w:sz w:val="20"/>
          <w:szCs w:val="20"/>
          <w:lang w:eastAsia="fr-FR"/>
        </w:rPr>
        <w:t xml:space="preserve">Ceci résulte, d’une part, de l’amélioration constatée en 2010, et d’autre part, d’un environnement macroéconomique plus favorable (hypothèse de croissance de la masse salariale supérieure de 0,8 point à la prévision initiale, soit environ 1,6 milliard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 xml:space="preserve"> de cotisations supplémentaires).</w:t>
      </w:r>
    </w:p>
    <w:p w14:paraId="48F873E6" w14:textId="77777777" w:rsidR="00FE2D20" w:rsidRPr="00FE2D20" w:rsidRDefault="00FE2D20" w:rsidP="002E3555">
      <w:pPr>
        <w:spacing w:before="100" w:beforeAutospacing="1" w:after="100" w:afterAutospacing="1" w:line="240" w:lineRule="auto"/>
        <w:rPr>
          <w:rFonts w:ascii="Times" w:hAnsi="Times"/>
          <w:sz w:val="20"/>
          <w:szCs w:val="20"/>
          <w:lang w:eastAsia="fr-FR"/>
        </w:rPr>
      </w:pPr>
      <w:r w:rsidRPr="00FE2D20">
        <w:rPr>
          <w:rFonts w:ascii="Times" w:hAnsi="Times"/>
          <w:sz w:val="20"/>
          <w:szCs w:val="20"/>
          <w:lang w:eastAsia="fr-FR"/>
        </w:rPr>
        <w:t xml:space="preserve">S’ajoutent à ces effets les mesures nouvelles ayant un effet dès cette année, notamment celles votées à l’occasion de la loi de finances rectificative pour 2011, qui représentent environ 0,4 milliard </w:t>
      </w:r>
      <w:r>
        <w:rPr>
          <w:rFonts w:ascii="Times" w:hAnsi="Times"/>
          <w:sz w:val="20"/>
          <w:szCs w:val="20"/>
          <w:lang w:eastAsia="fr-FR"/>
        </w:rPr>
        <w:t>d’euros</w:t>
      </w:r>
      <w:r w:rsidRPr="00FE2D20">
        <w:rPr>
          <w:rFonts w:ascii="Times" w:hAnsi="Times"/>
          <w:sz w:val="20"/>
          <w:szCs w:val="20"/>
          <w:lang w:eastAsia="fr-FR"/>
        </w:rPr>
        <w:t xml:space="preserve"> de recettes pour la sécurité sociale.</w:t>
      </w:r>
    </w:p>
    <w:p w14:paraId="7E831A44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Mesures de financement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7607"/>
        <w:gridCol w:w="1675"/>
      </w:tblGrid>
      <w:tr w:rsidR="00FE2D20" w:rsidRPr="00FE2D20" w14:paraId="21F52ED2" w14:textId="77777777" w:rsidTr="00FE2D20">
        <w:tc>
          <w:tcPr>
            <w:tcW w:w="0" w:type="auto"/>
            <w:hideMark/>
          </w:tcPr>
          <w:p w14:paraId="0693A02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Nature</w:t>
            </w:r>
          </w:p>
        </w:tc>
        <w:tc>
          <w:tcPr>
            <w:tcW w:w="0" w:type="auto"/>
            <w:hideMark/>
          </w:tcPr>
          <w:p w14:paraId="687314E3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Impact</w:t>
            </w:r>
          </w:p>
        </w:tc>
      </w:tr>
      <w:tr w:rsidR="00FE2D20" w:rsidRPr="00FE2D20" w14:paraId="17D628FD" w14:textId="77777777" w:rsidTr="00FE2D20">
        <w:tc>
          <w:tcPr>
            <w:tcW w:w="0" w:type="auto"/>
            <w:hideMark/>
          </w:tcPr>
          <w:p w14:paraId="5611E669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réintégration des heures supplémentaires dans le calcul des allègements généraux sur les bas salaires, sans modifier les exonérations fiscales associées à la loi TEPA </w:t>
            </w:r>
          </w:p>
        </w:tc>
        <w:tc>
          <w:tcPr>
            <w:tcW w:w="0" w:type="auto"/>
            <w:hideMark/>
          </w:tcPr>
          <w:p w14:paraId="07C125DC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600 millions</w:t>
            </w:r>
          </w:p>
        </w:tc>
      </w:tr>
      <w:tr w:rsidR="00FE2D20" w:rsidRPr="00FE2D20" w14:paraId="6DB21BA8" w14:textId="77777777" w:rsidTr="00FE2D20">
        <w:tc>
          <w:tcPr>
            <w:tcW w:w="0" w:type="auto"/>
            <w:hideMark/>
          </w:tcPr>
          <w:p w14:paraId="0DEF310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réduction de l’abattement de CSG-CRDS de 3% à 2% et la suppression de l’abattement pour certains accessoires de salaires </w:t>
            </w:r>
          </w:p>
        </w:tc>
        <w:tc>
          <w:tcPr>
            <w:tcW w:w="0" w:type="auto"/>
            <w:hideMark/>
          </w:tcPr>
          <w:p w14:paraId="2C37A498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595 millions</w:t>
            </w:r>
          </w:p>
        </w:tc>
      </w:tr>
      <w:tr w:rsidR="00FE2D20" w:rsidRPr="00FE2D20" w14:paraId="456DA807" w14:textId="77777777" w:rsidTr="00FE2D20">
        <w:tc>
          <w:tcPr>
            <w:tcW w:w="0" w:type="auto"/>
            <w:hideMark/>
          </w:tcPr>
          <w:p w14:paraId="64DBDDF6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augmentation du taux du forfait social de 6 à 8% </w:t>
            </w:r>
          </w:p>
        </w:tc>
        <w:tc>
          <w:tcPr>
            <w:tcW w:w="0" w:type="auto"/>
            <w:hideMark/>
          </w:tcPr>
          <w:p w14:paraId="61DF0FC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410 millions</w:t>
            </w:r>
          </w:p>
        </w:tc>
      </w:tr>
      <w:tr w:rsidR="00FE2D20" w:rsidRPr="00FE2D20" w14:paraId="3C47C9B8" w14:textId="77777777" w:rsidTr="00FE2D20">
        <w:tc>
          <w:tcPr>
            <w:tcW w:w="0" w:type="auto"/>
            <w:hideMark/>
          </w:tcPr>
          <w:p w14:paraId="1AD3E0BF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homogénéisation de l’assiette de la C3S dans le secteur financier </w:t>
            </w:r>
          </w:p>
        </w:tc>
        <w:tc>
          <w:tcPr>
            <w:tcW w:w="0" w:type="auto"/>
            <w:hideMark/>
          </w:tcPr>
          <w:p w14:paraId="4D61CECF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150 millions</w:t>
            </w:r>
          </w:p>
        </w:tc>
      </w:tr>
      <w:tr w:rsidR="00FE2D20" w:rsidRPr="00FE2D20" w14:paraId="46880CC2" w14:textId="77777777" w:rsidTr="00FE2D20">
        <w:tc>
          <w:tcPr>
            <w:tcW w:w="0" w:type="auto"/>
            <w:hideMark/>
          </w:tcPr>
          <w:p w14:paraId="29126E9D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assujettissement du complément de libre choix d’activité (CLCA) à la CSG </w:t>
            </w:r>
          </w:p>
        </w:tc>
        <w:tc>
          <w:tcPr>
            <w:tcW w:w="0" w:type="auto"/>
            <w:hideMark/>
          </w:tcPr>
          <w:p w14:paraId="432A3D8C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140 millions</w:t>
            </w:r>
          </w:p>
        </w:tc>
      </w:tr>
      <w:tr w:rsidR="00FE2D20" w:rsidRPr="00FE2D20" w14:paraId="0A7D0101" w14:textId="77777777" w:rsidTr="00FE2D20">
        <w:tc>
          <w:tcPr>
            <w:tcW w:w="0" w:type="auto"/>
            <w:hideMark/>
          </w:tcPr>
          <w:p w14:paraId="6C5E53B4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lastRenderedPageBreak/>
              <w:t xml:space="preserve">relèvement des droits sur les boissons alcoolisées </w:t>
            </w:r>
          </w:p>
        </w:tc>
        <w:tc>
          <w:tcPr>
            <w:tcW w:w="0" w:type="auto"/>
            <w:hideMark/>
          </w:tcPr>
          <w:p w14:paraId="79BE0970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340 millions</w:t>
            </w:r>
          </w:p>
        </w:tc>
      </w:tr>
      <w:tr w:rsidR="00FE2D20" w:rsidRPr="00FE2D20" w14:paraId="17652839" w14:textId="77777777" w:rsidTr="00FE2D20">
        <w:tc>
          <w:tcPr>
            <w:tcW w:w="0" w:type="auto"/>
            <w:hideMark/>
          </w:tcPr>
          <w:p w14:paraId="789C4BD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révision du barème de la taxe sur les véhicules de société </w:t>
            </w:r>
          </w:p>
        </w:tc>
        <w:tc>
          <w:tcPr>
            <w:tcW w:w="0" w:type="auto"/>
            <w:hideMark/>
          </w:tcPr>
          <w:p w14:paraId="1F15839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100 millions</w:t>
            </w:r>
          </w:p>
        </w:tc>
      </w:tr>
      <w:tr w:rsidR="00FE2D20" w:rsidRPr="00FE2D20" w14:paraId="51D46C41" w14:textId="77777777" w:rsidTr="00FE2D20">
        <w:tc>
          <w:tcPr>
            <w:tcW w:w="0" w:type="auto"/>
            <w:hideMark/>
          </w:tcPr>
          <w:p w14:paraId="1EC4BE5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augmentation de la TSCA </w:t>
            </w:r>
          </w:p>
        </w:tc>
        <w:tc>
          <w:tcPr>
            <w:tcW w:w="0" w:type="auto"/>
            <w:hideMark/>
          </w:tcPr>
          <w:p w14:paraId="7CC5F85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1,1 milliard en année pleine</w:t>
            </w:r>
          </w:p>
        </w:tc>
      </w:tr>
      <w:tr w:rsidR="00FE2D20" w:rsidRPr="00FE2D20" w14:paraId="4C128157" w14:textId="77777777" w:rsidTr="00FE2D20">
        <w:tc>
          <w:tcPr>
            <w:tcW w:w="0" w:type="auto"/>
            <w:hideMark/>
          </w:tcPr>
          <w:p w14:paraId="5D49ED3A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réforme des </w:t>
            </w:r>
            <w:proofErr w:type="gramStart"/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plus-value immobilière</w:t>
            </w:r>
            <w:proofErr w:type="gramEnd"/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0" w:type="auto"/>
            <w:hideMark/>
          </w:tcPr>
          <w:p w14:paraId="781EAE5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0,6 milliard</w:t>
            </w:r>
          </w:p>
        </w:tc>
      </w:tr>
      <w:tr w:rsidR="00FE2D20" w:rsidRPr="00FE2D20" w14:paraId="5686391A" w14:textId="77777777" w:rsidTr="00FE2D20">
        <w:tc>
          <w:tcPr>
            <w:tcW w:w="0" w:type="auto"/>
            <w:hideMark/>
          </w:tcPr>
          <w:p w14:paraId="7CF8C2B0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hausse du prix du tabac (octobre 2011) </w:t>
            </w:r>
          </w:p>
        </w:tc>
        <w:tc>
          <w:tcPr>
            <w:tcW w:w="0" w:type="auto"/>
            <w:hideMark/>
          </w:tcPr>
          <w:p w14:paraId="6E51E334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600 millions</w:t>
            </w:r>
          </w:p>
        </w:tc>
      </w:tr>
      <w:tr w:rsidR="00FE2D20" w:rsidRPr="00FE2D20" w14:paraId="66B817C7" w14:textId="77777777" w:rsidTr="00FE2D20">
        <w:tc>
          <w:tcPr>
            <w:tcW w:w="0" w:type="auto"/>
            <w:hideMark/>
          </w:tcPr>
          <w:p w14:paraId="764973FB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taxe sur les boissons sucrées </w:t>
            </w:r>
          </w:p>
        </w:tc>
        <w:tc>
          <w:tcPr>
            <w:tcW w:w="0" w:type="auto"/>
            <w:hideMark/>
          </w:tcPr>
          <w:p w14:paraId="7AF366B5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120 millions</w:t>
            </w:r>
          </w:p>
        </w:tc>
      </w:tr>
    </w:tbl>
    <w:p w14:paraId="3F750808" w14:textId="77777777" w:rsidR="00FE2D20" w:rsidRPr="00FE2D20" w:rsidRDefault="00FE2D20" w:rsidP="00FE2D20">
      <w:pPr>
        <w:spacing w:before="100" w:beforeAutospacing="1" w:after="100" w:afterAutospacing="1" w:line="240" w:lineRule="auto"/>
        <w:jc w:val="left"/>
        <w:outlineLvl w:val="2"/>
        <w:rPr>
          <w:rFonts w:ascii="Times" w:eastAsia="Times New Roman" w:hAnsi="Times"/>
          <w:b/>
          <w:bCs/>
          <w:sz w:val="27"/>
          <w:szCs w:val="27"/>
          <w:lang w:eastAsia="fr-FR"/>
        </w:rPr>
      </w:pPr>
      <w:r w:rsidRPr="00FE2D20">
        <w:rPr>
          <w:rFonts w:ascii="Times" w:eastAsia="Times New Roman" w:hAnsi="Times"/>
          <w:b/>
          <w:bCs/>
          <w:sz w:val="27"/>
          <w:szCs w:val="27"/>
          <w:lang w:eastAsia="fr-FR"/>
        </w:rPr>
        <w:t>Mesures d’économies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7621"/>
        <w:gridCol w:w="1661"/>
      </w:tblGrid>
      <w:tr w:rsidR="00FE2D20" w:rsidRPr="00FE2D20" w14:paraId="21A2B1B3" w14:textId="77777777" w:rsidTr="00FE2D20">
        <w:tc>
          <w:tcPr>
            <w:tcW w:w="7621" w:type="dxa"/>
            <w:hideMark/>
          </w:tcPr>
          <w:p w14:paraId="07C1F37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 xml:space="preserve">Mesure </w:t>
            </w:r>
          </w:p>
        </w:tc>
        <w:tc>
          <w:tcPr>
            <w:tcW w:w="1661" w:type="dxa"/>
            <w:hideMark/>
          </w:tcPr>
          <w:p w14:paraId="36A6374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Economie (M€)</w:t>
            </w:r>
          </w:p>
        </w:tc>
      </w:tr>
      <w:tr w:rsidR="00FE2D20" w:rsidRPr="00FE2D20" w14:paraId="05AF5C93" w14:textId="77777777" w:rsidTr="00FE2D20">
        <w:tc>
          <w:tcPr>
            <w:tcW w:w="7621" w:type="dxa"/>
            <w:hideMark/>
          </w:tcPr>
          <w:p w14:paraId="7987E7E1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Baisses de tarifs en biologie et radiologie </w:t>
            </w:r>
          </w:p>
        </w:tc>
        <w:tc>
          <w:tcPr>
            <w:tcW w:w="1661" w:type="dxa"/>
            <w:hideMark/>
          </w:tcPr>
          <w:p w14:paraId="6DD7AA5B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170</w:t>
            </w:r>
          </w:p>
        </w:tc>
      </w:tr>
      <w:tr w:rsidR="00FE2D20" w:rsidRPr="00FE2D20" w14:paraId="03A1A048" w14:textId="77777777" w:rsidTr="00FE2D20">
        <w:tc>
          <w:tcPr>
            <w:tcW w:w="7621" w:type="dxa"/>
            <w:hideMark/>
          </w:tcPr>
          <w:p w14:paraId="337F1C17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Maîtrise médicalisée </w:t>
            </w:r>
          </w:p>
        </w:tc>
        <w:tc>
          <w:tcPr>
            <w:tcW w:w="1661" w:type="dxa"/>
            <w:hideMark/>
          </w:tcPr>
          <w:p w14:paraId="2E656A0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550</w:t>
            </w:r>
          </w:p>
        </w:tc>
      </w:tr>
      <w:tr w:rsidR="00FE2D20" w:rsidRPr="00FE2D20" w14:paraId="3F088CC7" w14:textId="77777777" w:rsidTr="00FE2D20">
        <w:tc>
          <w:tcPr>
            <w:tcW w:w="7621" w:type="dxa"/>
            <w:hideMark/>
          </w:tcPr>
          <w:p w14:paraId="6A8EA8CB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Baisses de prix de produits de santé (médicaments et dispositifs médicaux) </w:t>
            </w:r>
          </w:p>
        </w:tc>
        <w:tc>
          <w:tcPr>
            <w:tcW w:w="1661" w:type="dxa"/>
            <w:hideMark/>
          </w:tcPr>
          <w:p w14:paraId="7DEE6E40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670</w:t>
            </w:r>
          </w:p>
        </w:tc>
      </w:tr>
      <w:tr w:rsidR="00FE2D20" w:rsidRPr="00FE2D20" w14:paraId="0554A0D3" w14:textId="77777777" w:rsidTr="00FE2D20">
        <w:tc>
          <w:tcPr>
            <w:tcW w:w="7621" w:type="dxa"/>
            <w:hideMark/>
          </w:tcPr>
          <w:p w14:paraId="460D8E20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Mesures diverses sur le médicament (marges des grossistes répartiteurs, tarifs forfaitaires de responsabilité, déremboursement des médicaments à service médical rendu insuffisant) </w:t>
            </w:r>
          </w:p>
        </w:tc>
        <w:tc>
          <w:tcPr>
            <w:tcW w:w="1661" w:type="dxa"/>
            <w:hideMark/>
          </w:tcPr>
          <w:p w14:paraId="111247AE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100</w:t>
            </w:r>
          </w:p>
        </w:tc>
      </w:tr>
      <w:tr w:rsidR="00FE2D20" w:rsidRPr="00FE2D20" w14:paraId="70ECDCFE" w14:textId="77777777" w:rsidTr="00FE2D20">
        <w:tc>
          <w:tcPr>
            <w:tcW w:w="7621" w:type="dxa"/>
            <w:hideMark/>
          </w:tcPr>
          <w:p w14:paraId="1AAA847D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Harmonisation du mode de calcul des indemnités journalières </w:t>
            </w:r>
          </w:p>
        </w:tc>
        <w:tc>
          <w:tcPr>
            <w:tcW w:w="1661" w:type="dxa"/>
            <w:hideMark/>
          </w:tcPr>
          <w:p w14:paraId="1AA96DFA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220</w:t>
            </w:r>
          </w:p>
        </w:tc>
      </w:tr>
      <w:tr w:rsidR="00FE2D20" w:rsidRPr="00FE2D20" w14:paraId="7646C180" w14:textId="77777777" w:rsidTr="00FE2D20">
        <w:tc>
          <w:tcPr>
            <w:tcW w:w="7621" w:type="dxa"/>
            <w:hideMark/>
          </w:tcPr>
          <w:p w14:paraId="49E6FFEC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Contrats de performance à l’hôpital </w:t>
            </w:r>
          </w:p>
        </w:tc>
        <w:tc>
          <w:tcPr>
            <w:tcW w:w="1661" w:type="dxa"/>
            <w:hideMark/>
          </w:tcPr>
          <w:p w14:paraId="3DF4E01E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150</w:t>
            </w:r>
          </w:p>
        </w:tc>
      </w:tr>
      <w:tr w:rsidR="00FE2D20" w:rsidRPr="00FE2D20" w14:paraId="078D06E4" w14:textId="77777777" w:rsidTr="00FE2D20">
        <w:tc>
          <w:tcPr>
            <w:tcW w:w="7621" w:type="dxa"/>
            <w:hideMark/>
          </w:tcPr>
          <w:p w14:paraId="137A4D34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Convergence tarifaire ciblée </w:t>
            </w:r>
          </w:p>
        </w:tc>
        <w:tc>
          <w:tcPr>
            <w:tcW w:w="1661" w:type="dxa"/>
            <w:hideMark/>
          </w:tcPr>
          <w:p w14:paraId="55F0878D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100</w:t>
            </w:r>
          </w:p>
        </w:tc>
      </w:tr>
      <w:tr w:rsidR="00FE2D20" w:rsidRPr="00FE2D20" w14:paraId="0C224C26" w14:textId="77777777" w:rsidTr="00FE2D20">
        <w:tc>
          <w:tcPr>
            <w:tcW w:w="7621" w:type="dxa"/>
            <w:hideMark/>
          </w:tcPr>
          <w:p w14:paraId="484E0410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Optimisation des achats à l’hôpital </w:t>
            </w:r>
          </w:p>
        </w:tc>
        <w:tc>
          <w:tcPr>
            <w:tcW w:w="1661" w:type="dxa"/>
            <w:hideMark/>
          </w:tcPr>
          <w:p w14:paraId="73FEAC3B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145</w:t>
            </w:r>
          </w:p>
        </w:tc>
      </w:tr>
      <w:tr w:rsidR="00FE2D20" w:rsidRPr="00FE2D20" w14:paraId="1C004B66" w14:textId="77777777" w:rsidTr="00FE2D20">
        <w:tc>
          <w:tcPr>
            <w:tcW w:w="7621" w:type="dxa"/>
            <w:hideMark/>
          </w:tcPr>
          <w:p w14:paraId="1ACFF2E6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Mesure de lutte contre la fraude à l’hôpital et baisses de tarifs de la liste en sus </w:t>
            </w:r>
          </w:p>
        </w:tc>
        <w:tc>
          <w:tcPr>
            <w:tcW w:w="1661" w:type="dxa"/>
            <w:hideMark/>
          </w:tcPr>
          <w:p w14:paraId="36A611A9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>55</w:t>
            </w:r>
          </w:p>
        </w:tc>
      </w:tr>
      <w:tr w:rsidR="00FE2D20" w:rsidRPr="00FE2D20" w14:paraId="4B1BD6A0" w14:textId="77777777" w:rsidTr="00FE2D20">
        <w:tc>
          <w:tcPr>
            <w:tcW w:w="7621" w:type="dxa"/>
            <w:hideMark/>
          </w:tcPr>
          <w:p w14:paraId="52595B13" w14:textId="77777777" w:rsidR="00FE2D20" w:rsidRPr="00FE2D20" w:rsidRDefault="00FE2D20" w:rsidP="00FE2D20">
            <w:pPr>
              <w:spacing w:line="240" w:lineRule="auto"/>
              <w:jc w:val="left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TOTAL</w:t>
            </w:r>
            <w:r w:rsidRPr="00FE2D20">
              <w:rPr>
                <w:rFonts w:ascii="Times" w:eastAsia="Times New Roman" w:hAnsi="Times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661" w:type="dxa"/>
            <w:hideMark/>
          </w:tcPr>
          <w:p w14:paraId="4907CBA2" w14:textId="77777777" w:rsidR="00FE2D20" w:rsidRPr="00FE2D20" w:rsidRDefault="00FE2D20" w:rsidP="00FE2D20">
            <w:pPr>
              <w:spacing w:line="240" w:lineRule="auto"/>
              <w:jc w:val="center"/>
              <w:rPr>
                <w:rFonts w:ascii="Times" w:eastAsia="Times New Roman" w:hAnsi="Times"/>
                <w:sz w:val="20"/>
                <w:szCs w:val="20"/>
                <w:lang w:eastAsia="fr-FR"/>
              </w:rPr>
            </w:pPr>
            <w:r w:rsidRPr="00FE2D20">
              <w:rPr>
                <w:rFonts w:ascii="Times" w:eastAsia="Times New Roman" w:hAnsi="Times"/>
                <w:b/>
                <w:bCs/>
                <w:sz w:val="20"/>
                <w:szCs w:val="20"/>
                <w:lang w:eastAsia="fr-FR"/>
              </w:rPr>
              <w:t>2160</w:t>
            </w:r>
          </w:p>
        </w:tc>
      </w:tr>
    </w:tbl>
    <w:p w14:paraId="06058AA0" w14:textId="77777777" w:rsidR="00191E82" w:rsidRPr="00FE2D20" w:rsidRDefault="00191E82" w:rsidP="00FE2D20"/>
    <w:sectPr w:rsidR="00191E82" w:rsidRPr="00FE2D20" w:rsidSect="0036135D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D20"/>
    <w:rsid w:val="000448A0"/>
    <w:rsid w:val="001129F4"/>
    <w:rsid w:val="00191E82"/>
    <w:rsid w:val="002E3555"/>
    <w:rsid w:val="00301E8A"/>
    <w:rsid w:val="0036135D"/>
    <w:rsid w:val="00B721D6"/>
    <w:rsid w:val="00F433AE"/>
    <w:rsid w:val="00FE2D2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04BF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8A"/>
    <w:pPr>
      <w:spacing w:line="360" w:lineRule="auto"/>
      <w:jc w:val="both"/>
    </w:pPr>
    <w:rPr>
      <w:rFonts w:ascii="Trebuchet MS" w:hAnsi="Trebuchet MS" w:cs="Times New Roman"/>
    </w:rPr>
  </w:style>
  <w:style w:type="paragraph" w:styleId="Titre3">
    <w:name w:val="heading 3"/>
    <w:basedOn w:val="Normal"/>
    <w:link w:val="Titre3Car"/>
    <w:uiPriority w:val="9"/>
    <w:qFormat/>
    <w:rsid w:val="00FE2D20"/>
    <w:pPr>
      <w:spacing w:before="100" w:beforeAutospacing="1" w:after="100" w:afterAutospacing="1" w:line="240" w:lineRule="auto"/>
      <w:jc w:val="left"/>
      <w:outlineLvl w:val="2"/>
    </w:pPr>
    <w:rPr>
      <w:rFonts w:ascii="Times" w:hAnsi="Times" w:cstheme="minorBidi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basedOn w:val="Normal"/>
    <w:qFormat/>
    <w:rsid w:val="00B721D6"/>
    <w:pPr>
      <w:spacing w:after="100" w:line="240" w:lineRule="auto"/>
      <w:ind w:left="5103"/>
    </w:pPr>
  </w:style>
  <w:style w:type="character" w:customStyle="1" w:styleId="Titre3Car">
    <w:name w:val="Titre 3 Car"/>
    <w:basedOn w:val="Policepardfaut"/>
    <w:link w:val="Titre3"/>
    <w:uiPriority w:val="9"/>
    <w:rsid w:val="00FE2D20"/>
    <w:rPr>
      <w:rFonts w:ascii="Times" w:hAnsi="Times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E2D20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E2D20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FE2D20"/>
    <w:rPr>
      <w:b/>
      <w:bCs/>
    </w:rPr>
  </w:style>
  <w:style w:type="table" w:styleId="Grille">
    <w:name w:val="Table Grid"/>
    <w:basedOn w:val="TableauNormal"/>
    <w:uiPriority w:val="59"/>
    <w:rsid w:val="00FE2D2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E2D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E2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8A"/>
    <w:pPr>
      <w:spacing w:line="360" w:lineRule="auto"/>
      <w:jc w:val="both"/>
    </w:pPr>
    <w:rPr>
      <w:rFonts w:ascii="Trebuchet MS" w:hAnsi="Trebuchet MS" w:cs="Times New Roman"/>
    </w:rPr>
  </w:style>
  <w:style w:type="paragraph" w:styleId="Titre3">
    <w:name w:val="heading 3"/>
    <w:basedOn w:val="Normal"/>
    <w:link w:val="Titre3Car"/>
    <w:uiPriority w:val="9"/>
    <w:qFormat/>
    <w:rsid w:val="00FE2D20"/>
    <w:pPr>
      <w:spacing w:before="100" w:beforeAutospacing="1" w:after="100" w:afterAutospacing="1" w:line="240" w:lineRule="auto"/>
      <w:jc w:val="left"/>
      <w:outlineLvl w:val="2"/>
    </w:pPr>
    <w:rPr>
      <w:rFonts w:ascii="Times" w:hAnsi="Times" w:cstheme="minorBidi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dresse">
    <w:name w:val="adresse"/>
    <w:basedOn w:val="Normal"/>
    <w:qFormat/>
    <w:rsid w:val="00B721D6"/>
    <w:pPr>
      <w:spacing w:after="100" w:line="240" w:lineRule="auto"/>
      <w:ind w:left="5103"/>
    </w:pPr>
  </w:style>
  <w:style w:type="character" w:customStyle="1" w:styleId="Titre3Car">
    <w:name w:val="Titre 3 Car"/>
    <w:basedOn w:val="Policepardfaut"/>
    <w:link w:val="Titre3"/>
    <w:uiPriority w:val="9"/>
    <w:rsid w:val="00FE2D20"/>
    <w:rPr>
      <w:rFonts w:ascii="Times" w:hAnsi="Times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FE2D20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E2D20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FE2D20"/>
    <w:rPr>
      <w:b/>
      <w:bCs/>
    </w:rPr>
  </w:style>
  <w:style w:type="table" w:styleId="Grille">
    <w:name w:val="Table Grid"/>
    <w:basedOn w:val="TableauNormal"/>
    <w:uiPriority w:val="59"/>
    <w:rsid w:val="00FE2D20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E2D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E2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0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497</Words>
  <Characters>2736</Characters>
  <Application>Microsoft Macintosh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Vanackere Provita Conseil</dc:creator>
  <cp:keywords/>
  <dc:description/>
  <cp:lastModifiedBy>Christophe Vanackere Provita Conseil</cp:lastModifiedBy>
  <cp:revision>2</cp:revision>
  <dcterms:created xsi:type="dcterms:W3CDTF">2011-09-26T17:52:00Z</dcterms:created>
  <dcterms:modified xsi:type="dcterms:W3CDTF">2011-09-26T17:58:00Z</dcterms:modified>
</cp:coreProperties>
</file>